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 语言 flag 包全量 flags 详细列举与解析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 标准库 `flag` 包的核心是通过 `Flag` 结构体定义参数、`FlagSet` 管理参数集合，提供了丰富的参数类型、解析规则和高级特性。以下从「基础参数类型 flags」「FlagSet 核心模式」「高级扩展 flags」「内置工具 flags」「注意事项」五大模块，全面列举并解析所有关键内容。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一、基础参数类型 flags（核心常用）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`flag` 包内置支持 6 种基础数据类型，每种类型对应两种定义方式：「返回指针」和「绑定变量」，满足不同使用场景。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1. 字符串类型（string）</w:t>
      </w:r>
      <w:bookmarkEnd w:id="1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函数定义</w:t>
      </w:r>
      <w:r>
        <w:rPr>
          <w:rFonts w:eastAsia="等线" w:ascii="Arial" w:cs="Arial" w:hAnsi="Arial"/>
          <w:sz w:val="22"/>
        </w:rPr>
        <w:t>：</w:t>
        <w:br/>
        <w:t xml:space="preserve">        </w:t>
      </w:r>
    </w:p>
    <w:p>
      <w:pPr>
        <w:numPr>
          <w:numId w:val="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`flag.String(name string, value string, usage string) *string`：返回字符串参数指针，参数依次为「参数名」「默认值」「帮助说明」。</w:t>
      </w:r>
    </w:p>
    <w:p>
      <w:pPr>
        <w:numPr>
          <w:numId w:val="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`flag.StringVar(p *string, name string, value string, usage string)`：将参数绑定到指定字符串变量，`p` 为变量指针。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  <w:br/>
        <w:t xml:space="preserve">        </w:t>
      </w:r>
      <w:r>
        <w:rPr>
          <w:rFonts w:eastAsia="Consolas" w:ascii="Consolas" w:cs="Consolas" w:hAnsi="Consolas"/>
          <w:sz w:val="22"/>
          <w:shd w:fill="EFF0F1"/>
        </w:rPr>
        <w:t>var name string</w:t>
        <w:br/>
        <w:t>flag.StringVar(&amp;name, "name", "anonymous", "用户名")</w:t>
        <w:br/>
        <w:t>email := flag.String("email", "default@xxx.com", "用户邮箱")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2. 整数类型（int/int64/uint/uint64）</w:t>
      </w:r>
      <w:bookmarkEnd w:id="2"/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函数定义</w:t>
      </w:r>
      <w:r>
        <w:rPr>
          <w:rFonts w:eastAsia="等线" w:ascii="Arial" w:cs="Arial" w:hAnsi="Arial"/>
          <w:sz w:val="22"/>
        </w:rPr>
        <w:t>：</w:t>
        <w:br/>
        <w:t xml:space="preserve">        </w:t>
      </w:r>
    </w:p>
    <w:p>
      <w:pPr>
        <w:numPr>
          <w:numId w:val="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int：`flag.Int(name, value int, usage) *int` / `flag.IntVar(p *int, name, value int, usage)`</w:t>
      </w:r>
    </w:p>
    <w:p>
      <w:pPr>
        <w:numPr>
          <w:numId w:val="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int64：`flag.Int64(name, value int64, usage) *int64` / `flag.Int64Var(p *int64, name, value int64, usage)`</w:t>
      </w:r>
    </w:p>
    <w:p>
      <w:pPr>
        <w:numPr>
          <w:numId w:val="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uint：`flag.Uint(name, value uint, usage) *uint` / `flag.UintVar(p *uint, name, value uint, usage)`</w:t>
      </w:r>
    </w:p>
    <w:p>
      <w:pPr>
        <w:numPr>
          <w:numId w:val="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uint64：`flag.Uint64(name, value uint64, usage) *uint64` / `flag.Uint64Var(p *uint64, name, value uint64, usage)`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说明</w:t>
      </w:r>
      <w:r>
        <w:rPr>
          <w:rFonts w:eastAsia="等线" w:ascii="Arial" w:cs="Arial" w:hAnsi="Arial"/>
          <w:sz w:val="22"/>
        </w:rPr>
        <w:t>：解析时自动校验参数是否为有效整数，无效则报错退出（默认行为）。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3. 浮点数类型（float64）</w:t>
      </w:r>
      <w:bookmarkEnd w:id="3"/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函数定义</w:t>
      </w:r>
      <w:r>
        <w:rPr>
          <w:rFonts w:eastAsia="等线" w:ascii="Arial" w:cs="Arial" w:hAnsi="Arial"/>
          <w:sz w:val="22"/>
        </w:rPr>
        <w:t>：</w:t>
        <w:br/>
        <w:t xml:space="preserve">        </w:t>
      </w:r>
    </w:p>
    <w:p>
      <w:pPr>
        <w:numPr>
          <w:numId w:val="1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`flag.Float64(name string, value float64, usage string) *float64`</w:t>
      </w:r>
    </w:p>
    <w:p>
      <w:pPr>
        <w:numPr>
          <w:numId w:val="1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`flag.Float64Var(p *float64, name string, value float64, usage string)`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  <w:br/>
        <w:t xml:space="preserve">        </w:t>
      </w:r>
      <w:r>
        <w:rPr>
          <w:rFonts w:eastAsia="Consolas" w:ascii="Consolas" w:cs="Consolas" w:hAnsi="Consolas"/>
          <w:sz w:val="22"/>
          <w:shd w:fill="EFF0F1"/>
        </w:rPr>
        <w:t>var score float64</w:t>
        <w:br/>
        <w:t>flag.Float64Var(&amp;score, "score", 60.0, "考试分数")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4. 布尔类型（bool）</w:t>
      </w:r>
      <w:bookmarkEnd w:id="4"/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函数定义</w:t>
      </w:r>
      <w:r>
        <w:rPr>
          <w:rFonts w:eastAsia="等线" w:ascii="Arial" w:cs="Arial" w:hAnsi="Arial"/>
          <w:sz w:val="22"/>
        </w:rPr>
        <w:t>：</w:t>
        <w:br/>
        <w:t xml:space="preserve">        </w:t>
      </w:r>
    </w:p>
    <w:p>
      <w:pPr>
        <w:numPr>
          <w:numId w:val="1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`flag.Bool(name string, value bool, usage string) *bool`</w:t>
      </w:r>
    </w:p>
    <w:p>
      <w:pPr>
        <w:numPr>
          <w:numId w:val="1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`flag.BoolVar(p *bool, name string, value bool, usage string)`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特殊规则</w:t>
      </w:r>
      <w:r>
        <w:rPr>
          <w:rFonts w:eastAsia="等线" w:ascii="Arial" w:cs="Arial" w:hAnsi="Arial"/>
          <w:sz w:val="22"/>
        </w:rPr>
        <w:t>：布尔类型参数可省略值，仅写参数名即视为 `true`（如 `-admin` 等价于 `-admin=true`），适合作为开关参数。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5" w:id="5"/>
      <w:r>
        <w:rPr>
          <w:rFonts w:eastAsia="等线" w:ascii="Arial" w:cs="Arial" w:hAnsi="Arial"/>
          <w:b w:val="true"/>
          <w:sz w:val="36"/>
        </w:rPr>
        <w:t>二、FlagSet 核心模式（参数集合管理）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`FlagSet` 是 `flag` 包的核心结构体，用于管理一组 flags，支持全局模式和自定义模式，默认全局使用 `flag.CommandLine`（预定义的 `FlagSet` 实例）。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b w:val="true"/>
          <w:sz w:val="32"/>
        </w:rPr>
        <w:t>1. FlagSet 初始化模式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创建 `FlagSet` 时需指定「名称」和「错误处理模式」，错误模式决定解析失败时的行为，共 3 种：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flag.ExitOnError（默认）</w:t>
      </w:r>
      <w:r>
        <w:rPr>
          <w:rFonts w:eastAsia="等线" w:ascii="Arial" w:cs="Arial" w:hAnsi="Arial"/>
          <w:sz w:val="22"/>
        </w:rPr>
        <w:t>：解析失败时打印错误信息和帮助文档，调用 `os.Exit(2)` 退出程序，不触发 panic。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flag.ContinueOnError</w:t>
      </w:r>
      <w:r>
        <w:rPr>
          <w:rFonts w:eastAsia="等线" w:ascii="Arial" w:cs="Arial" w:hAnsi="Arial"/>
          <w:sz w:val="22"/>
        </w:rPr>
        <w:t>：解析失败时返回错误，不退出程序、不打印帮助文档，适合自定义错误处理。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flag.PanicOnError</w:t>
      </w:r>
      <w:r>
        <w:rPr>
          <w:rFonts w:eastAsia="等线" w:ascii="Arial" w:cs="Arial" w:hAnsi="Arial"/>
          <w:sz w:val="22"/>
        </w:rPr>
        <w:t>：解析失败时触发 panic，适合需要捕获 panic 做统一处理的场景。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  <w:br/>
        <w:t xml:space="preserve">      </w:t>
      </w:r>
      <w:r>
        <w:rPr>
          <w:rFonts w:eastAsia="Consolas" w:ascii="Consolas" w:cs="Consolas" w:hAnsi="Consolas"/>
          <w:sz w:val="22"/>
          <w:shd w:fill="EFF0F1"/>
        </w:rPr>
        <w:t>// 创建自定义 FlagSet，解析失败时返回错误</w:t>
        <w:br/>
        <w:t>cmdFlagSet := flag.NewFlagSet("cmd", flag.ContinueOnError)</w:t>
        <w:br/>
        <w:t>// 向自定义 FlagSet 中添加参数</w:t>
        <w:br/>
        <w:t>name := cmdFlagSet.String("name", "", "名称")</w:t>
        <w:br/>
        <w:t>// 解析参数（需手动传入待解析的参数切片，通常是 os.Args[1:]）</w:t>
        <w:br/>
        <w:t>err := cmdFlagSet.Parse(os.Args[1:])</w:t>
        <w:br/>
        <w:t>if err != nil {</w:t>
        <w:br/>
        <w:t xml:space="preserve">  // 自定义错误处理</w:t>
        <w:br/>
        <w:t xml:space="preserve">  fmt.Println("解析失败：", err)</w:t>
        <w:br/>
        <w:t>}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7" w:id="7"/>
      <w:r>
        <w:rPr>
          <w:rFonts w:eastAsia="等线" w:ascii="Arial" w:cs="Arial" w:hAnsi="Arial"/>
          <w:b w:val="true"/>
          <w:sz w:val="32"/>
        </w:rPr>
        <w:t>2. 全局 FlagSet 与自定义 FlagSet 区别</w:t>
      </w:r>
      <w:bookmarkEnd w:id="7"/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全局 FlagSet（flag.CommandLine）</w:t>
      </w:r>
      <w:r>
        <w:rPr>
          <w:rFonts w:eastAsia="等线" w:ascii="Arial" w:cs="Arial" w:hAnsi="Arial"/>
          <w:sz w:val="22"/>
        </w:rPr>
        <w:t>：无需手动创建，直接调用 `flag.String`/`flag.Parse` 等方法即可，适合简单单命令程序。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自定义 FlagSet</w:t>
      </w:r>
      <w:r>
        <w:rPr>
          <w:rFonts w:eastAsia="等线" w:ascii="Arial" w:cs="Arial" w:hAnsi="Arial"/>
          <w:sz w:val="22"/>
        </w:rPr>
        <w:t>：支持多组独立参数集合，核心用于实现「子命令」（如 `git add`/`git commit`），每组子命令对应一个 `FlagSet`。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8" w:id="8"/>
      <w:r>
        <w:rPr>
          <w:rFonts w:eastAsia="等线" w:ascii="Arial" w:cs="Arial" w:hAnsi="Arial"/>
          <w:b w:val="true"/>
          <w:sz w:val="36"/>
        </w:rPr>
        <w:t>三、高级扩展 flags（自定义与扩展能力）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除内置类型外，`flag` 包支持通过接口扩展自定义参数类型，满足复杂场景需求。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b w:val="true"/>
          <w:sz w:val="32"/>
        </w:rPr>
        <w:t>1. 自定义参数类型（实现 flag.Value 接口）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任何类型只要实现 `flag.Value` 接口（含 `String()` 和 `Set(string) error` 两个方法），即可作为 flags 类型使用，支持多次指定、复杂格式解析等。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接口定义</w:t>
      </w:r>
      <w:bookmarkEnd w:id="1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Value interface {</w:t>
              <w:br/>
              <w:t xml:space="preserve">  String() string // 返回参数的字符串表示（用于默认值和帮助信息）</w:t>
              <w:br/>
              <w:t xml:space="preserve">  Set(string) error // 解析参数值，存入自定义类型（支持多次调用）</w:t>
              <w:br/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示例：支持多次指定的字符串切片</w:t>
      </w:r>
      <w:bookmarkEnd w:id="1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import (</w:t>
              <w:br/>
              <w:t xml:space="preserve">  "flag"</w:t>
              <w:br/>
              <w:t xml:space="preserve">  "fmt"</w:t>
              <w:br/>
              <w:t xml:space="preserve">  "strings"</w:t>
              <w:br/>
              <w:t>)</w:t>
              <w:br/>
              <w:br/>
              <w:t>// 自定义字符串切片类型</w:t>
              <w:br/>
              <w:t>type StringSlice []string</w:t>
              <w:br/>
              <w:br/>
              <w:t>// 实现 String() 方法</w:t>
              <w:br/>
              <w:t>func (s *StringSlice) String() string {</w:t>
              <w:br/>
              <w:t xml:space="preserve">  return strings.Join(*s, ",")</w:t>
              <w:br/>
              <w:t>}</w:t>
              <w:br/>
              <w:br/>
              <w:t>// 实现 Set() 方法，支持多次添加</w:t>
              <w:br/>
              <w:t>func (s *StringSlice) Set(value string) error {</w:t>
              <w:br/>
              <w:t xml:space="preserve">  *s = append(*s, value)</w:t>
              <w:br/>
              <w:t xml:space="preserve">  return nil</w:t>
              <w:br/>
              <w:t>}</w:t>
              <w:br/>
              <w:br/>
              <w:t>func main() {</w:t>
              <w:br/>
              <w:t xml:space="preserve">  var tags StringSlice</w:t>
              <w:br/>
              <w:t xml:space="preserve">  // 注册自定义类型参数</w:t>
              <w:br/>
              <w:t xml:space="preserve">  flag.Var(&amp;tags, "tag", "标签（可多次指定，格式：-tag go -tag flag）")</w:t>
              <w:br/>
              <w:t xml:space="preserve">  flag.Parse()</w:t>
              <w:br/>
              <w:t xml:space="preserve">  fmt.Println("标签列表：", tags) // 输出：标签列表：[go flag]</w:t>
              <w:br/>
              <w:t>}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2. 隐藏 flags（不显示在帮助文档中）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 `flag.CommandLine.MarkHidden(name string)` 方法可隐藏指定参数，使其不在 `-h`/`--help` 帮助文档中显示，但仍可正常解析，适合内部调试参数。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flag.String("debug", "off", "调试模式（内部参数）")</w:t>
              <w:br/>
              <w:t>// 隐藏 debug 参数</w:t>
              <w:br/>
              <w:t>flag.CommandLine.MarkHidden("debug")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b w:val="true"/>
          <w:sz w:val="32"/>
        </w:rPr>
        <w:t>3. 必传参数校验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`flag` 包无原生必传参数机制，需手动在 `flag.Parse()` 后校验，可封装工具函数实现：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checkRequiredFlags(flags ...*string) error {</w:t>
              <w:br/>
              <w:t xml:space="preserve">  for _, f := range flags {</w:t>
              <w:br/>
              <w:t xml:space="preserve">    if *f == "" {</w:t>
              <w:br/>
              <w:t xml:space="preserve">      return fmt.Errorf("参数 %s 为必传项", flag.CommandLine.Lookup((*f).Name()))</w:t>
              <w:br/>
              <w:t xml:space="preserve">    }</w:t>
              <w:br/>
              <w:t xml:space="preserve">  }</w:t>
              <w:br/>
              <w:t xml:space="preserve">  return nil</w:t>
              <w:br/>
              <w:t>}</w:t>
              <w:br/>
              <w:br/>
              <w:t>// 使用</w:t>
              <w:br/>
              <w:t>name := flag.String("name", "", "用户名（必传）")</w:t>
              <w:br/>
              <w:t>flag.Parse()</w:t>
              <w:br/>
              <w:t>if err := checkRequiredFlags(name); err != nil {</w:t>
              <w:br/>
              <w:t xml:space="preserve">  fmt.Println(err)</w:t>
              <w:br/>
              <w:t xml:space="preserve">  flag.Usage() // 打印帮助文档</w:t>
              <w:br/>
              <w:t xml:space="preserve">  os.Exit(1)</w:t>
              <w:br/>
              <w:t>}</w:t>
            </w:r>
          </w:p>
        </w:tc>
      </w:tr>
    </w:tbl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4" w:id="14"/>
      <w:r>
        <w:rPr>
          <w:rFonts w:eastAsia="等线" w:ascii="Arial" w:cs="Arial" w:hAnsi="Arial"/>
          <w:b w:val="true"/>
          <w:sz w:val="36"/>
        </w:rPr>
        <w:t>四、内置工具 flags 与辅助方法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`flag` 包提供一组辅助方法，用于获取参数解析状态、打印帮助文档等，简化开发。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5" w:id="15"/>
      <w:r>
        <w:rPr>
          <w:rFonts w:eastAsia="等线" w:ascii="Arial" w:cs="Arial" w:hAnsi="Arial"/>
          <w:b w:val="true"/>
          <w:sz w:val="32"/>
        </w:rPr>
        <w:t>1. 帮助文档相关</w:t>
      </w:r>
      <w:bookmarkEnd w:id="15"/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flag.Usage()</w:t>
      </w:r>
      <w:r>
        <w:rPr>
          <w:rFonts w:eastAsia="等线" w:ascii="Arial" w:cs="Arial" w:hAnsi="Arial"/>
          <w:sz w:val="22"/>
        </w:rPr>
        <w:t>：打印全局 `FlagSet` 的帮助文档（默认格式：参数名、默认值、帮助说明），可自定义实现：</w:t>
        <w:br/>
        <w:t xml:space="preserve">       </w:t>
      </w:r>
      <w:r>
        <w:rPr>
          <w:rFonts w:eastAsia="Consolas" w:ascii="Consolas" w:cs="Consolas" w:hAnsi="Consolas"/>
          <w:sz w:val="22"/>
          <w:shd w:fill="EFF0F1"/>
        </w:rPr>
        <w:t>// 自定义帮助文档</w:t>
        <w:br/>
        <w:t>flag.Usage = func() {</w:t>
        <w:br/>
        <w:t xml:space="preserve">  fmt.Fprintf(os.Stderr, "使用说明：%s [参数]\n", os.Args[0])</w:t>
        <w:br/>
        <w:t xml:space="preserve">  fmt.Fprintln(os.Stderr, "参数列表：")</w:t>
        <w:br/>
        <w:t xml:space="preserve">  flag.PrintDefaults() // 打印所有参数默认值和说明</w:t>
        <w:br/>
        <w:t>}</w:t>
        <w:br/>
        <w:t>flag.Parse()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flag.PrintDefaults()</w:t>
      </w:r>
      <w:r>
        <w:rPr>
          <w:rFonts w:eastAsia="等线" w:ascii="Arial" w:cs="Arial" w:hAnsi="Arial"/>
          <w:sz w:val="22"/>
        </w:rPr>
        <w:t>：打印所有已注册参数的默认值和帮助说明，常用于自定义 `Usage` 方法。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6" w:id="16"/>
      <w:r>
        <w:rPr>
          <w:rFonts w:eastAsia="等线" w:ascii="Arial" w:cs="Arial" w:hAnsi="Arial"/>
          <w:b w:val="true"/>
          <w:sz w:val="32"/>
        </w:rPr>
        <w:t>2. 参数解析状态查询</w:t>
      </w:r>
      <w:bookmarkEnd w:id="16"/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flag.Args() []string</w:t>
      </w:r>
      <w:r>
        <w:rPr>
          <w:rFonts w:eastAsia="等线" w:ascii="Arial" w:cs="Arial" w:hAnsi="Arial"/>
          <w:sz w:val="22"/>
        </w:rPr>
        <w:t>：返回解析后剩余的「非 flag 参数」（即不匹配 `-xxx` 格式的参数）。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flag.NArg() int</w:t>
      </w:r>
      <w:r>
        <w:rPr>
          <w:rFonts w:eastAsia="等线" w:ascii="Arial" w:cs="Arial" w:hAnsi="Arial"/>
          <w:sz w:val="22"/>
        </w:rPr>
        <w:t>：返回剩余非 flag 参数的个数。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flag.NFlag() int</w:t>
      </w:r>
      <w:r>
        <w:rPr>
          <w:rFonts w:eastAsia="等线" w:ascii="Arial" w:cs="Arial" w:hAnsi="Arial"/>
          <w:sz w:val="22"/>
        </w:rPr>
        <w:t>：返回已解析成功的 flag 参数个数（不含默认值参数）。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flag.Lookup(name string) *Flag</w:t>
      </w:r>
      <w:r>
        <w:rPr>
          <w:rFonts w:eastAsia="等线" w:ascii="Arial" w:cs="Arial" w:hAnsi="Arial"/>
          <w:sz w:val="22"/>
        </w:rPr>
        <w:t>：根据参数名查询对应的 `Flag` 结构体，可用于动态修改参数属性（如默认值、帮助说明）。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7" w:id="17"/>
      <w:r>
        <w:rPr>
          <w:rFonts w:eastAsia="等线" w:ascii="Arial" w:cs="Arial" w:hAnsi="Arial"/>
          <w:b w:val="true"/>
          <w:sz w:val="32"/>
        </w:rPr>
        <w:t>3. 跨平台兼容 flags</w:t>
      </w:r>
      <w:bookmarkEnd w:id="1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`flag` 包自动兼容 Windows 平台的参数格式，支持 `/-` 两种前缀（如 Windows 下 `/name` 等价于 `-name`），无需额外适配。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8" w:id="18"/>
      <w:r>
        <w:rPr>
          <w:rFonts w:eastAsia="等线" w:ascii="Arial" w:cs="Arial" w:hAnsi="Arial"/>
          <w:b w:val="true"/>
          <w:sz w:val="36"/>
        </w:rPr>
        <w:t>五、关键注意事项（避坑指南）</w:t>
      </w:r>
      <w:bookmarkEnd w:id="18"/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解析时机不可错</w:t>
      </w:r>
      <w:r>
        <w:rPr>
          <w:rFonts w:eastAsia="等线" w:ascii="Arial" w:cs="Arial" w:hAnsi="Arial"/>
          <w:sz w:val="22"/>
        </w:rPr>
        <w:t>：`flag.Parse()` 必须在所有参数注册完成后、使用参数前调用，否则参数值始终为默认值。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布尔参数特殊处理</w:t>
      </w:r>
      <w:r>
        <w:rPr>
          <w:rFonts w:eastAsia="等线" w:ascii="Arial" w:cs="Arial" w:hAnsi="Arial"/>
          <w:sz w:val="22"/>
        </w:rPr>
        <w:t>：布尔参数不可紧跟值（如 `-admin=true` 合法，`-admin true` 会将 `true` 视为剩余参数），建议使用 `=`, 或直接省略值。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参数顺序影响解析</w:t>
      </w:r>
      <w:r>
        <w:rPr>
          <w:rFonts w:eastAsia="等线" w:ascii="Arial" w:cs="Arial" w:hAnsi="Arial"/>
          <w:sz w:val="22"/>
        </w:rPr>
        <w:t>：`flag` 包仅解析 `os.Args` 中 `-xxx` 格式的参数，剩余非 flag 参数需放在所有 flag 参数之后，否则会被误判为剩余参数。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自定义 FlagSet 需手动解析</w:t>
      </w:r>
      <w:r>
        <w:rPr>
          <w:rFonts w:eastAsia="等线" w:ascii="Arial" w:cs="Arial" w:hAnsi="Arial"/>
          <w:sz w:val="22"/>
        </w:rPr>
        <w:t>：自定义 `FlagSet` 不会自动解析 `os.Args`，需手动调用 `Parse(args []string)` 传入参数切片。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默认值与零值区分</w:t>
      </w:r>
      <w:r>
        <w:rPr>
          <w:rFonts w:eastAsia="等线" w:ascii="Arial" w:cs="Arial" w:hAnsi="Arial"/>
          <w:sz w:val="22"/>
        </w:rPr>
        <w:t>：注册参数时指定的默认值会覆盖变量零值，若需判断用户是否传入参数，可通过「默认值设为特殊值」+ 手动校验实现（如字符串默认值设为空串）。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并发安全问题</w:t>
      </w:r>
      <w:r>
        <w:rPr>
          <w:rFonts w:eastAsia="等线" w:ascii="Arial" w:cs="Arial" w:hAnsi="Arial"/>
          <w:sz w:val="22"/>
        </w:rPr>
        <w:t>：`FlagSet` 不支持并发注册或解析参数，需在主线程完成所有参数操作。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9" w:id="19"/>
      <w:r>
        <w:rPr>
          <w:rFonts w:eastAsia="等线" w:ascii="Arial" w:cs="Arial" w:hAnsi="Arial"/>
          <w:b w:val="true"/>
          <w:sz w:val="36"/>
        </w:rPr>
        <w:t>六、扩展场景：第三方增强 flags 库</w:t>
      </w:r>
      <w:bookmarkEnd w:id="1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对于复杂场景（如多级子命令、嵌套参数、颜色化帮助文档），`flag` 包原生能力有限，可选用第三方库：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cobra</w:t>
      </w:r>
      <w:r>
        <w:rPr>
          <w:rFonts w:eastAsia="等线" w:ascii="Arial" w:cs="Arial" w:hAnsi="Arial"/>
          <w:sz w:val="22"/>
        </w:rPr>
        <w:t>：Go 生态最流行的命令行工具库，基于 `flag` 包封装，支持多级子命令、自动生成帮助文档、命令补全等，适合大型 CLI 工具（如 Kubernetes 客户端 `kubectl`）。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pflag</w:t>
      </w:r>
      <w:r>
        <w:rPr>
          <w:rFonts w:eastAsia="等线" w:ascii="Arial" w:cs="Arial" w:hAnsi="Arial"/>
          <w:sz w:val="22"/>
        </w:rPr>
        <w:t>：`cobra` 依赖的增强版 flag 库，支持长参数（`--name`）、短参数（`-n`）、参数分组等，兼容原生 `flag` 包。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0" w:id="20"/>
      <w:r>
        <w:rPr>
          <w:rFonts w:eastAsia="等线" w:ascii="Arial" w:cs="Arial" w:hAnsi="Arial"/>
          <w:b w:val="true"/>
          <w:sz w:val="36"/>
        </w:rPr>
        <w:t>总结</w:t>
      </w:r>
      <w:bookmarkEnd w:id="2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`flag` 包的核心能力围绕「`Flag` 类型定义」和「`FlagSet` 集合管理」展开，内置基础类型满足常规需求，自定义接口支持复杂扩展，配合辅助方法可实现灵活的命令行参数解析。简单程序用全局 `flag` 方法即可，复杂多命令程序建议基于 `FlagSet` 或第三方库（如 cobra）实现，同时需注意解析时机、参数格式等细节，避免踩坑。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795066">
    <w:lvl>
      <w:numFmt w:val="bullet"/>
      <w:suff w:val="tab"/>
      <w:lvlText w:val="•"/>
      <w:rPr>
        <w:color w:val="3370ff"/>
      </w:rPr>
    </w:lvl>
  </w:abstractNum>
  <w:abstractNum w:abstractNumId="795067">
    <w:lvl>
      <w:numFmt w:val="bullet"/>
      <w:suff w:val="tab"/>
      <w:lvlText w:val="￮"/>
      <w:rPr>
        <w:color w:val="3370ff"/>
      </w:rPr>
    </w:lvl>
  </w:abstractNum>
  <w:abstractNum w:abstractNumId="795068">
    <w:lvl>
      <w:numFmt w:val="bullet"/>
      <w:suff w:val="tab"/>
      <w:lvlText w:val="￮"/>
      <w:rPr>
        <w:color w:val="3370ff"/>
      </w:rPr>
    </w:lvl>
  </w:abstractNum>
  <w:abstractNum w:abstractNumId="795069">
    <w:lvl>
      <w:numFmt w:val="bullet"/>
      <w:suff w:val="tab"/>
      <w:lvlText w:val="•"/>
      <w:rPr>
        <w:color w:val="3370ff"/>
      </w:rPr>
    </w:lvl>
  </w:abstractNum>
  <w:abstractNum w:abstractNumId="795070">
    <w:lvl>
      <w:numFmt w:val="bullet"/>
      <w:suff w:val="tab"/>
      <w:lvlText w:val="•"/>
      <w:rPr>
        <w:color w:val="3370ff"/>
      </w:rPr>
    </w:lvl>
  </w:abstractNum>
  <w:abstractNum w:abstractNumId="795071">
    <w:lvl>
      <w:numFmt w:val="bullet"/>
      <w:suff w:val="tab"/>
      <w:lvlText w:val="￮"/>
      <w:rPr>
        <w:color w:val="3370ff"/>
      </w:rPr>
    </w:lvl>
  </w:abstractNum>
  <w:abstractNum w:abstractNumId="795072">
    <w:lvl>
      <w:numFmt w:val="bullet"/>
      <w:suff w:val="tab"/>
      <w:lvlText w:val="￮"/>
      <w:rPr>
        <w:color w:val="3370ff"/>
      </w:rPr>
    </w:lvl>
  </w:abstractNum>
  <w:abstractNum w:abstractNumId="795073">
    <w:lvl>
      <w:numFmt w:val="bullet"/>
      <w:suff w:val="tab"/>
      <w:lvlText w:val="￮"/>
      <w:rPr>
        <w:color w:val="3370ff"/>
      </w:rPr>
    </w:lvl>
  </w:abstractNum>
  <w:abstractNum w:abstractNumId="795074">
    <w:lvl>
      <w:numFmt w:val="bullet"/>
      <w:suff w:val="tab"/>
      <w:lvlText w:val="￮"/>
      <w:rPr>
        <w:color w:val="3370ff"/>
      </w:rPr>
    </w:lvl>
  </w:abstractNum>
  <w:abstractNum w:abstractNumId="795075">
    <w:lvl>
      <w:numFmt w:val="bullet"/>
      <w:suff w:val="tab"/>
      <w:lvlText w:val="•"/>
      <w:rPr>
        <w:color w:val="3370ff"/>
      </w:rPr>
    </w:lvl>
  </w:abstractNum>
  <w:abstractNum w:abstractNumId="795076">
    <w:lvl>
      <w:numFmt w:val="bullet"/>
      <w:suff w:val="tab"/>
      <w:lvlText w:val="•"/>
      <w:rPr>
        <w:color w:val="3370ff"/>
      </w:rPr>
    </w:lvl>
  </w:abstractNum>
  <w:abstractNum w:abstractNumId="795077">
    <w:lvl>
      <w:numFmt w:val="bullet"/>
      <w:suff w:val="tab"/>
      <w:lvlText w:val="￮"/>
      <w:rPr>
        <w:color w:val="3370ff"/>
      </w:rPr>
    </w:lvl>
  </w:abstractNum>
  <w:abstractNum w:abstractNumId="795078">
    <w:lvl>
      <w:numFmt w:val="bullet"/>
      <w:suff w:val="tab"/>
      <w:lvlText w:val="￮"/>
      <w:rPr>
        <w:color w:val="3370ff"/>
      </w:rPr>
    </w:lvl>
  </w:abstractNum>
  <w:abstractNum w:abstractNumId="795079">
    <w:lvl>
      <w:numFmt w:val="bullet"/>
      <w:suff w:val="tab"/>
      <w:lvlText w:val="•"/>
      <w:rPr>
        <w:color w:val="3370ff"/>
      </w:rPr>
    </w:lvl>
  </w:abstractNum>
  <w:abstractNum w:abstractNumId="795080">
    <w:lvl>
      <w:numFmt w:val="bullet"/>
      <w:suff w:val="tab"/>
      <w:lvlText w:val="•"/>
      <w:rPr>
        <w:color w:val="3370ff"/>
      </w:rPr>
    </w:lvl>
  </w:abstractNum>
  <w:abstractNum w:abstractNumId="795081">
    <w:lvl>
      <w:numFmt w:val="bullet"/>
      <w:suff w:val="tab"/>
      <w:lvlText w:val="￮"/>
      <w:rPr>
        <w:color w:val="3370ff"/>
      </w:rPr>
    </w:lvl>
  </w:abstractNum>
  <w:abstractNum w:abstractNumId="795082">
    <w:lvl>
      <w:numFmt w:val="bullet"/>
      <w:suff w:val="tab"/>
      <w:lvlText w:val="￮"/>
      <w:rPr>
        <w:color w:val="3370ff"/>
      </w:rPr>
    </w:lvl>
  </w:abstractNum>
  <w:abstractNum w:abstractNumId="795083">
    <w:lvl>
      <w:numFmt w:val="bullet"/>
      <w:suff w:val="tab"/>
      <w:lvlText w:val="•"/>
      <w:rPr>
        <w:color w:val="3370ff"/>
      </w:rPr>
    </w:lvl>
  </w:abstractNum>
  <w:abstractNum w:abstractNumId="795084">
    <w:lvl>
      <w:numFmt w:val="bullet"/>
      <w:suff w:val="tab"/>
      <w:lvlText w:val="•"/>
      <w:rPr>
        <w:color w:val="3370ff"/>
      </w:rPr>
    </w:lvl>
  </w:abstractNum>
  <w:abstractNum w:abstractNumId="795085">
    <w:lvl>
      <w:numFmt w:val="bullet"/>
      <w:suff w:val="tab"/>
      <w:lvlText w:val="•"/>
      <w:rPr>
        <w:color w:val="3370ff"/>
      </w:rPr>
    </w:lvl>
  </w:abstractNum>
  <w:abstractNum w:abstractNumId="795086">
    <w:lvl>
      <w:numFmt w:val="bullet"/>
      <w:suff w:val="tab"/>
      <w:lvlText w:val="•"/>
      <w:rPr>
        <w:color w:val="3370ff"/>
      </w:rPr>
    </w:lvl>
  </w:abstractNum>
  <w:abstractNum w:abstractNumId="795087">
    <w:lvl>
      <w:numFmt w:val="bullet"/>
      <w:suff w:val="tab"/>
      <w:lvlText w:val="•"/>
      <w:rPr>
        <w:color w:val="3370ff"/>
      </w:rPr>
    </w:lvl>
  </w:abstractNum>
  <w:abstractNum w:abstractNumId="795088">
    <w:lvl>
      <w:numFmt w:val="bullet"/>
      <w:suff w:val="tab"/>
      <w:lvlText w:val="•"/>
      <w:rPr>
        <w:color w:val="3370ff"/>
      </w:rPr>
    </w:lvl>
  </w:abstractNum>
  <w:abstractNum w:abstractNumId="795089">
    <w:lvl>
      <w:numFmt w:val="bullet"/>
      <w:suff w:val="tab"/>
      <w:lvlText w:val="•"/>
      <w:rPr>
        <w:color w:val="3370ff"/>
      </w:rPr>
    </w:lvl>
  </w:abstractNum>
  <w:abstractNum w:abstractNumId="795090">
    <w:lvl>
      <w:numFmt w:val="bullet"/>
      <w:suff w:val="tab"/>
      <w:lvlText w:val="•"/>
      <w:rPr>
        <w:color w:val="3370ff"/>
      </w:rPr>
    </w:lvl>
  </w:abstractNum>
  <w:abstractNum w:abstractNumId="795091">
    <w:lvl>
      <w:numFmt w:val="bullet"/>
      <w:suff w:val="tab"/>
      <w:lvlText w:val="•"/>
      <w:rPr>
        <w:color w:val="3370ff"/>
      </w:rPr>
    </w:lvl>
  </w:abstractNum>
  <w:abstractNum w:abstractNumId="795092">
    <w:lvl>
      <w:numFmt w:val="bullet"/>
      <w:suff w:val="tab"/>
      <w:lvlText w:val="•"/>
      <w:rPr>
        <w:color w:val="3370ff"/>
      </w:rPr>
    </w:lvl>
  </w:abstractNum>
  <w:abstractNum w:abstractNumId="795093">
    <w:lvl>
      <w:numFmt w:val="bullet"/>
      <w:suff w:val="tab"/>
      <w:lvlText w:val="•"/>
      <w:rPr>
        <w:color w:val="3370ff"/>
      </w:rPr>
    </w:lvl>
  </w:abstractNum>
  <w:abstractNum w:abstractNumId="795094">
    <w:lvl>
      <w:numFmt w:val="bullet"/>
      <w:suff w:val="tab"/>
      <w:lvlText w:val="•"/>
      <w:rPr>
        <w:color w:val="3370ff"/>
      </w:rPr>
    </w:lvl>
  </w:abstractNum>
  <w:abstractNum w:abstractNumId="795095">
    <w:lvl>
      <w:start w:val="1"/>
      <w:numFmt w:val="decimal"/>
      <w:suff w:val="tab"/>
      <w:lvlText w:val="%1."/>
      <w:rPr>
        <w:color w:val="3370ff"/>
      </w:rPr>
    </w:lvl>
  </w:abstractNum>
  <w:abstractNum w:abstractNumId="795096">
    <w:lvl>
      <w:start w:val="2"/>
      <w:numFmt w:val="decimal"/>
      <w:suff w:val="tab"/>
      <w:lvlText w:val="%1."/>
      <w:rPr>
        <w:color w:val="3370ff"/>
      </w:rPr>
    </w:lvl>
  </w:abstractNum>
  <w:abstractNum w:abstractNumId="795097">
    <w:lvl>
      <w:start w:val="3"/>
      <w:numFmt w:val="decimal"/>
      <w:suff w:val="tab"/>
      <w:lvlText w:val="%1."/>
      <w:rPr>
        <w:color w:val="3370ff"/>
      </w:rPr>
    </w:lvl>
  </w:abstractNum>
  <w:abstractNum w:abstractNumId="795098">
    <w:lvl>
      <w:start w:val="4"/>
      <w:numFmt w:val="decimal"/>
      <w:suff w:val="tab"/>
      <w:lvlText w:val="%1."/>
      <w:rPr>
        <w:color w:val="3370ff"/>
      </w:rPr>
    </w:lvl>
  </w:abstractNum>
  <w:abstractNum w:abstractNumId="795099">
    <w:lvl>
      <w:start w:val="5"/>
      <w:numFmt w:val="decimal"/>
      <w:suff w:val="tab"/>
      <w:lvlText w:val="%1."/>
      <w:rPr>
        <w:color w:val="3370ff"/>
      </w:rPr>
    </w:lvl>
  </w:abstractNum>
  <w:abstractNum w:abstractNumId="795100">
    <w:lvl>
      <w:start w:val="6"/>
      <w:numFmt w:val="decimal"/>
      <w:suff w:val="tab"/>
      <w:lvlText w:val="%1."/>
      <w:rPr>
        <w:color w:val="3370ff"/>
      </w:rPr>
    </w:lvl>
  </w:abstractNum>
  <w:abstractNum w:abstractNumId="795101">
    <w:lvl>
      <w:numFmt w:val="bullet"/>
      <w:suff w:val="tab"/>
      <w:lvlText w:val="•"/>
      <w:rPr>
        <w:color w:val="3370ff"/>
      </w:rPr>
    </w:lvl>
  </w:abstractNum>
  <w:abstractNum w:abstractNumId="795102">
    <w:lvl>
      <w:numFmt w:val="bullet"/>
      <w:suff w:val="tab"/>
      <w:lvlText w:val="•"/>
      <w:rPr>
        <w:color w:val="3370ff"/>
      </w:rPr>
    </w:lvl>
  </w:abstractNum>
  <w:num w:numId="1">
    <w:abstractNumId w:val="795066"/>
  </w:num>
  <w:num w:numId="2">
    <w:abstractNumId w:val="795067"/>
  </w:num>
  <w:num w:numId="3">
    <w:abstractNumId w:val="795068"/>
  </w:num>
  <w:num w:numId="4">
    <w:abstractNumId w:val="795069"/>
  </w:num>
  <w:num w:numId="5">
    <w:abstractNumId w:val="795070"/>
  </w:num>
  <w:num w:numId="6">
    <w:abstractNumId w:val="795071"/>
  </w:num>
  <w:num w:numId="7">
    <w:abstractNumId w:val="795072"/>
  </w:num>
  <w:num w:numId="8">
    <w:abstractNumId w:val="795073"/>
  </w:num>
  <w:num w:numId="9">
    <w:abstractNumId w:val="795074"/>
  </w:num>
  <w:num w:numId="10">
    <w:abstractNumId w:val="795075"/>
  </w:num>
  <w:num w:numId="11">
    <w:abstractNumId w:val="795076"/>
  </w:num>
  <w:num w:numId="12">
    <w:abstractNumId w:val="795077"/>
  </w:num>
  <w:num w:numId="13">
    <w:abstractNumId w:val="795078"/>
  </w:num>
  <w:num w:numId="14">
    <w:abstractNumId w:val="795079"/>
  </w:num>
  <w:num w:numId="15">
    <w:abstractNumId w:val="795080"/>
  </w:num>
  <w:num w:numId="16">
    <w:abstractNumId w:val="795081"/>
  </w:num>
  <w:num w:numId="17">
    <w:abstractNumId w:val="795082"/>
  </w:num>
  <w:num w:numId="18">
    <w:abstractNumId w:val="795083"/>
  </w:num>
  <w:num w:numId="19">
    <w:abstractNumId w:val="795084"/>
  </w:num>
  <w:num w:numId="20">
    <w:abstractNumId w:val="795085"/>
  </w:num>
  <w:num w:numId="21">
    <w:abstractNumId w:val="795086"/>
  </w:num>
  <w:num w:numId="22">
    <w:abstractNumId w:val="795087"/>
  </w:num>
  <w:num w:numId="23">
    <w:abstractNumId w:val="795088"/>
  </w:num>
  <w:num w:numId="24">
    <w:abstractNumId w:val="795089"/>
  </w:num>
  <w:num w:numId="25">
    <w:abstractNumId w:val="795090"/>
  </w:num>
  <w:num w:numId="26">
    <w:abstractNumId w:val="795091"/>
  </w:num>
  <w:num w:numId="27">
    <w:abstractNumId w:val="795092"/>
  </w:num>
  <w:num w:numId="28">
    <w:abstractNumId w:val="795093"/>
  </w:num>
  <w:num w:numId="29">
    <w:abstractNumId w:val="795094"/>
  </w:num>
  <w:num w:numId="30">
    <w:abstractNumId w:val="795095"/>
  </w:num>
  <w:num w:numId="31">
    <w:abstractNumId w:val="795096"/>
  </w:num>
  <w:num w:numId="32">
    <w:abstractNumId w:val="795097"/>
  </w:num>
  <w:num w:numId="33">
    <w:abstractNumId w:val="795098"/>
  </w:num>
  <w:num w:numId="34">
    <w:abstractNumId w:val="795099"/>
  </w:num>
  <w:num w:numId="35">
    <w:abstractNumId w:val="795100"/>
  </w:num>
  <w:num w:numId="36">
    <w:abstractNumId w:val="795101"/>
  </w:num>
  <w:num w:numId="37">
    <w:abstractNumId w:val="795102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2026-01-27T08:17:04Z</dcterms:created>
  <dc:creator>Apache POI</dc:creator>
</cp:coreProperties>
</file>